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26" w:rsidRDefault="00866026" w:rsidP="00866026">
      <w:pPr>
        <w:tabs>
          <w:tab w:val="num" w:pos="50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026">
        <w:rPr>
          <w:rFonts w:ascii="Times New Roman" w:hAnsi="Times New Roman" w:cs="Times New Roman"/>
          <w:b/>
          <w:sz w:val="28"/>
          <w:szCs w:val="28"/>
        </w:rPr>
        <w:t>Рекомендуемые темы рефератов  по модулю «Неорганическая и аналитическая химия»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6026" w:rsidRPr="00866026" w:rsidRDefault="00866026" w:rsidP="00866026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Определение следовых примесей тяжелых металлов в продукции растениеводства.</w:t>
      </w:r>
    </w:p>
    <w:p w:rsidR="00866026" w:rsidRPr="00866026" w:rsidRDefault="00866026" w:rsidP="00866026">
      <w:pPr>
        <w:numPr>
          <w:ilvl w:val="0"/>
          <w:numId w:val="1"/>
        </w:numPr>
        <w:tabs>
          <w:tab w:val="num" w:pos="426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Особенности почвы и растений как объектов аналитических методов анализа.</w:t>
      </w:r>
    </w:p>
    <w:p w:rsidR="00866026" w:rsidRPr="00866026" w:rsidRDefault="00866026" w:rsidP="00866026">
      <w:pPr>
        <w:numPr>
          <w:ilvl w:val="0"/>
          <w:numId w:val="1"/>
        </w:numPr>
        <w:tabs>
          <w:tab w:val="num" w:pos="426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 xml:space="preserve">Статистические методы обработки результатов. </w:t>
      </w:r>
    </w:p>
    <w:p w:rsidR="00866026" w:rsidRPr="00866026" w:rsidRDefault="00866026" w:rsidP="00866026">
      <w:pPr>
        <w:numPr>
          <w:ilvl w:val="0"/>
          <w:numId w:val="1"/>
        </w:numPr>
        <w:tabs>
          <w:tab w:val="num" w:pos="426"/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 xml:space="preserve">Лабораторные и экспрессные методы диагностики почвы и растений. </w:t>
      </w:r>
    </w:p>
    <w:p w:rsidR="00866026" w:rsidRPr="00866026" w:rsidRDefault="00866026" w:rsidP="00866026">
      <w:pPr>
        <w:numPr>
          <w:ilvl w:val="0"/>
          <w:numId w:val="1"/>
        </w:numPr>
        <w:tabs>
          <w:tab w:val="left" w:pos="6804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Классические методы определения кислотности почвы и доступных элементов питания. Определение неорганических вредных веществ (тяжелых металлов).</w:t>
      </w:r>
    </w:p>
    <w:p w:rsidR="00866026" w:rsidRPr="00866026" w:rsidRDefault="00866026" w:rsidP="00866026">
      <w:pPr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 xml:space="preserve">7. </w:t>
      </w:r>
      <w:hyperlink r:id="rId5" w:tooltip="Permanent Link to Соотношение рН и общей щелочности почв" w:history="1">
        <w:r w:rsidRPr="00866026">
          <w:rPr>
            <w:rFonts w:ascii="Times New Roman" w:hAnsi="Times New Roman" w:cs="Times New Roman"/>
            <w:sz w:val="28"/>
            <w:szCs w:val="28"/>
          </w:rPr>
          <w:t>Соотношение рН и общей щелочности почв</w:t>
        </w:r>
      </w:hyperlink>
      <w:r w:rsidRPr="00866026">
        <w:rPr>
          <w:rFonts w:ascii="Times New Roman" w:hAnsi="Times New Roman" w:cs="Times New Roman"/>
          <w:bCs/>
          <w:sz w:val="28"/>
          <w:szCs w:val="28"/>
        </w:rPr>
        <w:t>.</w:t>
      </w:r>
    </w:p>
    <w:p w:rsidR="00866026" w:rsidRPr="00866026" w:rsidRDefault="00866026" w:rsidP="00866026">
      <w:pPr>
        <w:pStyle w:val="2"/>
        <w:spacing w:line="276" w:lineRule="auto"/>
        <w:ind w:firstLine="0"/>
        <w:rPr>
          <w:szCs w:val="28"/>
        </w:rPr>
      </w:pPr>
      <w:r w:rsidRPr="00866026">
        <w:rPr>
          <w:szCs w:val="28"/>
        </w:rPr>
        <w:t>8. Значение комплексных соединений в биологии и сельском хозяйстве.</w:t>
      </w:r>
    </w:p>
    <w:p w:rsidR="00866026" w:rsidRPr="00866026" w:rsidRDefault="00866026" w:rsidP="00866026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9. Вода и водород в биосфере и сельском хозяйстве.</w:t>
      </w:r>
    </w:p>
    <w:p w:rsidR="00866026" w:rsidRPr="00866026" w:rsidRDefault="00866026" w:rsidP="00866026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10. Калий как элемент питания растений. Калийные удобрения.</w:t>
      </w:r>
    </w:p>
    <w:p w:rsidR="00866026" w:rsidRPr="00866026" w:rsidRDefault="00866026" w:rsidP="00866026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11. Ресурсы и круговороты натрия и калия в природе.</w:t>
      </w:r>
    </w:p>
    <w:p w:rsidR="00866026" w:rsidRPr="00866026" w:rsidRDefault="00866026" w:rsidP="00866026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12. Магний и кальций в питании. Ресурсы и круговороты магния и кальция в природе.</w:t>
      </w:r>
    </w:p>
    <w:p w:rsidR="00866026" w:rsidRPr="00866026" w:rsidRDefault="00866026" w:rsidP="00866026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13. Применение соединений углерода в АПК.</w:t>
      </w:r>
    </w:p>
    <w:p w:rsidR="00866026" w:rsidRPr="00866026" w:rsidRDefault="00866026" w:rsidP="00866026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14. Экологические аспекты химии углерода.</w:t>
      </w:r>
    </w:p>
    <w:p w:rsidR="00866026" w:rsidRPr="00866026" w:rsidRDefault="00866026" w:rsidP="00866026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15. Соединение кремния в растениях и почве.</w:t>
      </w:r>
    </w:p>
    <w:p w:rsidR="00866026" w:rsidRPr="00866026" w:rsidRDefault="00866026" w:rsidP="00866026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 xml:space="preserve">16. Свойства и роль химических связей азота в </w:t>
      </w:r>
      <w:proofErr w:type="spellStart"/>
      <w:r w:rsidRPr="00866026">
        <w:rPr>
          <w:rFonts w:ascii="Times New Roman" w:hAnsi="Times New Roman" w:cs="Times New Roman"/>
          <w:sz w:val="28"/>
          <w:szCs w:val="28"/>
        </w:rPr>
        <w:t>биомолекулах</w:t>
      </w:r>
      <w:proofErr w:type="spellEnd"/>
      <w:r w:rsidRPr="00866026">
        <w:rPr>
          <w:rFonts w:ascii="Times New Roman" w:hAnsi="Times New Roman" w:cs="Times New Roman"/>
          <w:sz w:val="28"/>
          <w:szCs w:val="28"/>
        </w:rPr>
        <w:t>. Азот в питании человека и животных.</w:t>
      </w:r>
    </w:p>
    <w:p w:rsidR="00866026" w:rsidRPr="00866026" w:rsidRDefault="00866026" w:rsidP="00866026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17. Ресурсы и круговорот азота в природе.</w:t>
      </w:r>
    </w:p>
    <w:p w:rsidR="00866026" w:rsidRPr="00866026" w:rsidRDefault="00866026" w:rsidP="00866026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18. Экологические аспекты химии азота.</w:t>
      </w:r>
    </w:p>
    <w:p w:rsidR="00866026" w:rsidRPr="00866026" w:rsidRDefault="00866026" w:rsidP="00866026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19. Ресурсы и круговорот фосфора в природе.</w:t>
      </w:r>
    </w:p>
    <w:p w:rsidR="00866026" w:rsidRPr="00866026" w:rsidRDefault="00866026" w:rsidP="00866026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20. Экологические аспекты химии фосфора.</w:t>
      </w:r>
    </w:p>
    <w:p w:rsidR="00866026" w:rsidRPr="00866026" w:rsidRDefault="00866026" w:rsidP="00866026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21. Минеральные удобрения и кормовые фосфаты.</w:t>
      </w:r>
    </w:p>
    <w:p w:rsidR="00866026" w:rsidRPr="00866026" w:rsidRDefault="00866026" w:rsidP="00866026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22. Экологические аспекты химии кислорода.</w:t>
      </w:r>
    </w:p>
    <w:p w:rsidR="00866026" w:rsidRPr="00866026" w:rsidRDefault="00866026" w:rsidP="00866026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23. Применение соединений серы в сельском хозяйстве.</w:t>
      </w:r>
    </w:p>
    <w:p w:rsidR="00866026" w:rsidRPr="00866026" w:rsidRDefault="00866026" w:rsidP="00866026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lastRenderedPageBreak/>
        <w:t>24. Значение галогенов в природе и сельском хозяйстве.</w:t>
      </w:r>
    </w:p>
    <w:p w:rsidR="00866026" w:rsidRPr="00866026" w:rsidRDefault="00866026" w:rsidP="00866026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 xml:space="preserve">25. экология и токсикология металлов. </w:t>
      </w:r>
    </w:p>
    <w:p w:rsidR="00866026" w:rsidRPr="00866026" w:rsidRDefault="00866026" w:rsidP="00866026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 xml:space="preserve">26. Определение потребности растений в подкормке азотом с помощью </w:t>
      </w:r>
      <w:r w:rsidRPr="0086602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66026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866026">
        <w:rPr>
          <w:rFonts w:ascii="Times New Roman" w:hAnsi="Times New Roman" w:cs="Times New Roman"/>
          <w:sz w:val="28"/>
          <w:szCs w:val="28"/>
          <w:lang w:val="en-US"/>
        </w:rPr>
        <w:t>Testera</w:t>
      </w:r>
      <w:proofErr w:type="spellEnd"/>
      <w:r w:rsidRPr="00866026">
        <w:rPr>
          <w:rFonts w:ascii="Times New Roman" w:hAnsi="Times New Roman" w:cs="Times New Roman"/>
          <w:sz w:val="28"/>
          <w:szCs w:val="28"/>
        </w:rPr>
        <w:t xml:space="preserve">. Принцип работы и краткая характеристика прибора, управление прибором, специфика  использования в технологиях возделывания зерновых.  </w:t>
      </w:r>
    </w:p>
    <w:p w:rsidR="00866026" w:rsidRPr="00866026" w:rsidRDefault="00866026" w:rsidP="00866026">
      <w:pPr>
        <w:tabs>
          <w:tab w:val="num" w:pos="284"/>
          <w:tab w:val="left" w:pos="680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 xml:space="preserve">27. Биологические свойства почвы, их значение для растений и возможность регулирования. Инструментальные методы определение базовых характеристик биологических свойств почвы.  </w:t>
      </w:r>
    </w:p>
    <w:p w:rsidR="00866026" w:rsidRPr="00866026" w:rsidRDefault="00866026" w:rsidP="00866026">
      <w:pPr>
        <w:tabs>
          <w:tab w:val="num" w:pos="360"/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 xml:space="preserve">28. Методы исследования почвенной </w:t>
      </w:r>
      <w:proofErr w:type="spellStart"/>
      <w:r w:rsidRPr="00866026">
        <w:rPr>
          <w:rFonts w:ascii="Times New Roman" w:hAnsi="Times New Roman" w:cs="Times New Roman"/>
          <w:sz w:val="28"/>
          <w:szCs w:val="28"/>
        </w:rPr>
        <w:t>биоты</w:t>
      </w:r>
      <w:proofErr w:type="spellEnd"/>
      <w:r w:rsidRPr="00866026">
        <w:rPr>
          <w:rFonts w:ascii="Times New Roman" w:hAnsi="Times New Roman" w:cs="Times New Roman"/>
          <w:sz w:val="28"/>
          <w:szCs w:val="28"/>
        </w:rPr>
        <w:t xml:space="preserve">: насекомых, червей, </w:t>
      </w:r>
      <w:proofErr w:type="spellStart"/>
      <w:r w:rsidRPr="00866026">
        <w:rPr>
          <w:rFonts w:ascii="Times New Roman" w:hAnsi="Times New Roman" w:cs="Times New Roman"/>
          <w:sz w:val="28"/>
          <w:szCs w:val="28"/>
        </w:rPr>
        <w:t>фитонематод</w:t>
      </w:r>
      <w:proofErr w:type="spellEnd"/>
      <w:r w:rsidRPr="00866026">
        <w:rPr>
          <w:rFonts w:ascii="Times New Roman" w:hAnsi="Times New Roman" w:cs="Times New Roman"/>
          <w:sz w:val="28"/>
          <w:szCs w:val="28"/>
        </w:rPr>
        <w:t xml:space="preserve">, микроорганизмов.     </w:t>
      </w:r>
    </w:p>
    <w:p w:rsidR="00866026" w:rsidRPr="00866026" w:rsidRDefault="00866026" w:rsidP="00866026">
      <w:pPr>
        <w:tabs>
          <w:tab w:val="num" w:pos="360"/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 xml:space="preserve">29. Методы исследования биологической активности почв (метод определения дыхания почвы), активности ферментов.    </w:t>
      </w:r>
    </w:p>
    <w:p w:rsidR="00866026" w:rsidRPr="00866026" w:rsidRDefault="00866026" w:rsidP="00866026">
      <w:p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0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30. Организация работы аналитических лабораторий на основе  совершенной практики работ – </w:t>
      </w:r>
      <w:proofErr w:type="spellStart"/>
      <w:r w:rsidRPr="0086602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GoodLaboratorypractices</w:t>
      </w:r>
      <w:proofErr w:type="spellEnd"/>
      <w:r w:rsidRPr="0086602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66026" w:rsidRPr="00866026" w:rsidRDefault="00866026" w:rsidP="00866026">
      <w:pPr>
        <w:pStyle w:val="2"/>
        <w:spacing w:line="276" w:lineRule="auto"/>
        <w:ind w:left="502" w:firstLine="0"/>
        <w:rPr>
          <w:szCs w:val="28"/>
        </w:rPr>
      </w:pPr>
      <w:r w:rsidRPr="00866026">
        <w:rPr>
          <w:b/>
          <w:szCs w:val="28"/>
        </w:rPr>
        <w:t>Методические указания по выполнению реферата</w:t>
      </w:r>
    </w:p>
    <w:p w:rsidR="00866026" w:rsidRPr="00866026" w:rsidRDefault="00866026" w:rsidP="00866026">
      <w:pPr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 xml:space="preserve">Реферат (от лат. </w:t>
      </w:r>
      <w:proofErr w:type="gramStart"/>
      <w:r w:rsidRPr="00866026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gramEnd"/>
      <w:r w:rsidRPr="00866026">
        <w:rPr>
          <w:rFonts w:ascii="Times New Roman" w:hAnsi="Times New Roman" w:cs="Times New Roman"/>
          <w:sz w:val="28"/>
          <w:szCs w:val="28"/>
        </w:rPr>
        <w:t>е</w:t>
      </w:r>
      <w:r w:rsidRPr="00866026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866026">
        <w:rPr>
          <w:rFonts w:ascii="Times New Roman" w:hAnsi="Times New Roman" w:cs="Times New Roman"/>
          <w:sz w:val="28"/>
          <w:szCs w:val="28"/>
        </w:rPr>
        <w:t>еrо</w:t>
      </w:r>
      <w:proofErr w:type="spellEnd"/>
      <w:r w:rsidRPr="00866026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Pr="00866026">
        <w:rPr>
          <w:rFonts w:ascii="Times New Roman" w:hAnsi="Times New Roman" w:cs="Times New Roman"/>
          <w:sz w:val="28"/>
          <w:szCs w:val="28"/>
        </w:rPr>
        <w:t xml:space="preserve"> докладываю)</w:t>
      </w:r>
      <w:r w:rsidRPr="00866026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Pr="00866026">
        <w:rPr>
          <w:rFonts w:ascii="Times New Roman" w:hAnsi="Times New Roman" w:cs="Times New Roman"/>
          <w:sz w:val="28"/>
          <w:szCs w:val="28"/>
        </w:rPr>
        <w:t xml:space="preserve"> крат</w:t>
      </w:r>
      <w:r w:rsidRPr="00866026">
        <w:rPr>
          <w:rFonts w:ascii="Times New Roman" w:hAnsi="Times New Roman" w:cs="Times New Roman"/>
          <w:sz w:val="28"/>
          <w:szCs w:val="28"/>
        </w:rPr>
        <w:softHyphen/>
        <w:t>кое изложение в письменном виде или в форме пуб</w:t>
      </w:r>
      <w:r w:rsidRPr="00866026">
        <w:rPr>
          <w:rFonts w:ascii="Times New Roman" w:hAnsi="Times New Roman" w:cs="Times New Roman"/>
          <w:sz w:val="28"/>
          <w:szCs w:val="28"/>
        </w:rPr>
        <w:softHyphen/>
        <w:t>личного доклада содержания учения, научной про</w:t>
      </w:r>
      <w:r w:rsidRPr="00866026">
        <w:rPr>
          <w:rFonts w:ascii="Times New Roman" w:hAnsi="Times New Roman" w:cs="Times New Roman"/>
          <w:sz w:val="28"/>
          <w:szCs w:val="28"/>
        </w:rPr>
        <w:softHyphen/>
        <w:t>блемы, истории какого-либо вопроса. Рефераты со</w:t>
      </w:r>
      <w:r w:rsidRPr="00866026">
        <w:rPr>
          <w:rFonts w:ascii="Times New Roman" w:hAnsi="Times New Roman" w:cs="Times New Roman"/>
          <w:sz w:val="28"/>
          <w:szCs w:val="28"/>
        </w:rPr>
        <w:softHyphen/>
        <w:t>ставляются на основе обзора литературных источни</w:t>
      </w:r>
      <w:r w:rsidRPr="00866026">
        <w:rPr>
          <w:rFonts w:ascii="Times New Roman" w:hAnsi="Times New Roman" w:cs="Times New Roman"/>
          <w:sz w:val="28"/>
          <w:szCs w:val="28"/>
        </w:rPr>
        <w:softHyphen/>
        <w:t>ков, касающихся рассматриваемой проблемы. Они применяются в семинарской работе студентов и ас</w:t>
      </w:r>
      <w:r w:rsidRPr="00866026">
        <w:rPr>
          <w:rFonts w:ascii="Times New Roman" w:hAnsi="Times New Roman" w:cs="Times New Roman"/>
          <w:sz w:val="28"/>
          <w:szCs w:val="28"/>
        </w:rPr>
        <w:softHyphen/>
        <w:t>пирантов при изучении гуманитарных и естественно</w:t>
      </w:r>
      <w:r w:rsidRPr="00866026">
        <w:rPr>
          <w:rFonts w:ascii="Times New Roman" w:hAnsi="Times New Roman" w:cs="Times New Roman"/>
          <w:sz w:val="28"/>
          <w:szCs w:val="28"/>
        </w:rPr>
        <w:softHyphen/>
        <w:t>научных  дисциплин</w:t>
      </w:r>
      <w:r w:rsidRPr="00866026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866026" w:rsidRPr="00866026" w:rsidRDefault="00866026" w:rsidP="00866026">
      <w:pPr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  <w:u w:val="single"/>
        </w:rPr>
        <w:t>Подготовка реферата</w:t>
      </w:r>
      <w:r w:rsidRPr="00866026">
        <w:rPr>
          <w:rFonts w:ascii="Times New Roman" w:hAnsi="Times New Roman" w:cs="Times New Roman"/>
          <w:sz w:val="28"/>
          <w:szCs w:val="28"/>
        </w:rPr>
        <w:t xml:space="preserve"> предполагает тщательную проработку различных источников информации по рассматриваемой проблеме, исследование и критиче</w:t>
      </w:r>
      <w:r w:rsidRPr="00866026">
        <w:rPr>
          <w:rFonts w:ascii="Times New Roman" w:hAnsi="Times New Roman" w:cs="Times New Roman"/>
          <w:sz w:val="28"/>
          <w:szCs w:val="28"/>
        </w:rPr>
        <w:softHyphen/>
        <w:t>ский анализ собранного материала, самостоятельные обобщения и выводы.</w:t>
      </w:r>
    </w:p>
    <w:p w:rsidR="00866026" w:rsidRPr="00866026" w:rsidRDefault="00866026" w:rsidP="00866026">
      <w:pPr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  <w:u w:val="single"/>
        </w:rPr>
        <w:t>Цель написания реферата</w:t>
      </w:r>
      <w:r w:rsidRPr="00866026">
        <w:rPr>
          <w:rFonts w:ascii="Times New Roman" w:hAnsi="Times New Roman" w:cs="Times New Roman"/>
          <w:sz w:val="28"/>
          <w:szCs w:val="28"/>
        </w:rPr>
        <w:t xml:space="preserve"> состоит в следующем:</w:t>
      </w:r>
    </w:p>
    <w:p w:rsidR="00866026" w:rsidRPr="00866026" w:rsidRDefault="00866026" w:rsidP="00866026">
      <w:pPr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noProof/>
          <w:sz w:val="28"/>
          <w:szCs w:val="28"/>
        </w:rPr>
        <w:t>-</w:t>
      </w:r>
      <w:r w:rsidRPr="00866026">
        <w:rPr>
          <w:rFonts w:ascii="Times New Roman" w:hAnsi="Times New Roman" w:cs="Times New Roman"/>
          <w:sz w:val="28"/>
          <w:szCs w:val="28"/>
        </w:rPr>
        <w:t xml:space="preserve"> формирование научного стиля мышления;</w:t>
      </w:r>
    </w:p>
    <w:p w:rsidR="00866026" w:rsidRPr="00866026" w:rsidRDefault="00866026" w:rsidP="00866026">
      <w:pPr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noProof/>
          <w:sz w:val="28"/>
          <w:szCs w:val="28"/>
        </w:rPr>
        <w:t>-</w:t>
      </w:r>
      <w:r w:rsidRPr="00866026">
        <w:rPr>
          <w:rFonts w:ascii="Times New Roman" w:hAnsi="Times New Roman" w:cs="Times New Roman"/>
          <w:sz w:val="28"/>
          <w:szCs w:val="28"/>
        </w:rPr>
        <w:t xml:space="preserve"> более детальное ознакомление с освещаемой про</w:t>
      </w:r>
      <w:r w:rsidRPr="00866026">
        <w:rPr>
          <w:rFonts w:ascii="Times New Roman" w:hAnsi="Times New Roman" w:cs="Times New Roman"/>
          <w:sz w:val="28"/>
          <w:szCs w:val="28"/>
        </w:rPr>
        <w:softHyphen/>
        <w:t>блемой;</w:t>
      </w:r>
    </w:p>
    <w:p w:rsidR="00866026" w:rsidRPr="00866026" w:rsidRDefault="00866026" w:rsidP="00866026">
      <w:pPr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noProof/>
          <w:sz w:val="28"/>
          <w:szCs w:val="28"/>
        </w:rPr>
        <w:t>-</w:t>
      </w:r>
      <w:r w:rsidRPr="00866026">
        <w:rPr>
          <w:rFonts w:ascii="Times New Roman" w:hAnsi="Times New Roman" w:cs="Times New Roman"/>
          <w:sz w:val="28"/>
          <w:szCs w:val="28"/>
        </w:rPr>
        <w:t xml:space="preserve"> приобретение опыта самостоятельной исследова</w:t>
      </w:r>
      <w:r w:rsidRPr="00866026">
        <w:rPr>
          <w:rFonts w:ascii="Times New Roman" w:hAnsi="Times New Roman" w:cs="Times New Roman"/>
          <w:sz w:val="28"/>
          <w:szCs w:val="28"/>
        </w:rPr>
        <w:softHyphen/>
        <w:t>тельской работы;</w:t>
      </w:r>
    </w:p>
    <w:p w:rsidR="00866026" w:rsidRPr="00866026" w:rsidRDefault="00866026" w:rsidP="0086602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- овладение навыками и приемами научной обработки материала;</w:t>
      </w:r>
    </w:p>
    <w:p w:rsidR="00866026" w:rsidRPr="00866026" w:rsidRDefault="00866026" w:rsidP="0086602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- приобретение опыта написания научных статей;</w:t>
      </w:r>
    </w:p>
    <w:p w:rsidR="00866026" w:rsidRPr="00866026" w:rsidRDefault="00866026" w:rsidP="0086602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lastRenderedPageBreak/>
        <w:t>- приобретение опыта работы с генеральным и сис</w:t>
      </w:r>
      <w:r w:rsidRPr="00866026">
        <w:rPr>
          <w:rFonts w:ascii="Times New Roman" w:hAnsi="Times New Roman" w:cs="Times New Roman"/>
          <w:sz w:val="28"/>
          <w:szCs w:val="28"/>
        </w:rPr>
        <w:softHyphen/>
        <w:t>тематическим каталогом библиотеки.</w:t>
      </w:r>
    </w:p>
    <w:p w:rsidR="00866026" w:rsidRPr="00866026" w:rsidRDefault="00866026" w:rsidP="00866026">
      <w:pPr>
        <w:widowControl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6026">
        <w:rPr>
          <w:rFonts w:ascii="Times New Roman" w:hAnsi="Times New Roman" w:cs="Times New Roman"/>
          <w:sz w:val="28"/>
          <w:szCs w:val="28"/>
          <w:u w:val="single"/>
        </w:rPr>
        <w:t>Основные этапы работы</w:t>
      </w:r>
    </w:p>
    <w:p w:rsidR="00866026" w:rsidRPr="00866026" w:rsidRDefault="00866026" w:rsidP="00866026">
      <w:pPr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noProof/>
          <w:sz w:val="28"/>
          <w:szCs w:val="28"/>
        </w:rPr>
        <w:t>1.</w:t>
      </w:r>
      <w:r w:rsidRPr="00866026">
        <w:rPr>
          <w:rFonts w:ascii="Times New Roman" w:hAnsi="Times New Roman" w:cs="Times New Roman"/>
          <w:sz w:val="28"/>
          <w:szCs w:val="28"/>
        </w:rPr>
        <w:t>Выбор темы реферата.</w:t>
      </w:r>
    </w:p>
    <w:p w:rsidR="00866026" w:rsidRPr="00866026" w:rsidRDefault="00866026" w:rsidP="00866026">
      <w:pPr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noProof/>
          <w:sz w:val="28"/>
          <w:szCs w:val="28"/>
        </w:rPr>
        <w:t>2.</w:t>
      </w:r>
      <w:r w:rsidRPr="00866026">
        <w:rPr>
          <w:rFonts w:ascii="Times New Roman" w:hAnsi="Times New Roman" w:cs="Times New Roman"/>
          <w:sz w:val="28"/>
          <w:szCs w:val="28"/>
        </w:rPr>
        <w:t>Подбор литературы по выбранной теме</w:t>
      </w:r>
      <w:r w:rsidRPr="00866026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866026" w:rsidRPr="00866026" w:rsidRDefault="00866026" w:rsidP="00866026">
      <w:pPr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noProof/>
          <w:sz w:val="28"/>
          <w:szCs w:val="28"/>
        </w:rPr>
        <w:t>3.</w:t>
      </w:r>
      <w:r w:rsidRPr="00866026">
        <w:rPr>
          <w:rFonts w:ascii="Times New Roman" w:hAnsi="Times New Roman" w:cs="Times New Roman"/>
          <w:sz w:val="28"/>
          <w:szCs w:val="28"/>
        </w:rPr>
        <w:t>Изучение литературы, сбор и систематизация ма</w:t>
      </w:r>
      <w:r w:rsidRPr="00866026">
        <w:rPr>
          <w:rFonts w:ascii="Times New Roman" w:hAnsi="Times New Roman" w:cs="Times New Roman"/>
          <w:sz w:val="28"/>
          <w:szCs w:val="28"/>
        </w:rPr>
        <w:softHyphen/>
        <w:t>териала (выписки из текста, карточки, схемы, основные положения)</w:t>
      </w:r>
      <w:r w:rsidRPr="00866026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866026" w:rsidRPr="00866026" w:rsidRDefault="00866026" w:rsidP="00866026">
      <w:pPr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noProof/>
          <w:sz w:val="28"/>
          <w:szCs w:val="28"/>
        </w:rPr>
        <w:t>4.</w:t>
      </w:r>
      <w:r w:rsidRPr="00866026">
        <w:rPr>
          <w:rFonts w:ascii="Times New Roman" w:hAnsi="Times New Roman" w:cs="Times New Roman"/>
          <w:sz w:val="28"/>
          <w:szCs w:val="28"/>
        </w:rPr>
        <w:t>Обдумывание основных идей работы и составление развернутого плана реферата.</w:t>
      </w:r>
    </w:p>
    <w:p w:rsidR="00866026" w:rsidRPr="00866026" w:rsidRDefault="00866026" w:rsidP="00866026">
      <w:pPr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noProof/>
          <w:sz w:val="28"/>
          <w:szCs w:val="28"/>
        </w:rPr>
        <w:t>5.</w:t>
      </w:r>
      <w:r w:rsidRPr="00866026">
        <w:rPr>
          <w:rFonts w:ascii="Times New Roman" w:hAnsi="Times New Roman" w:cs="Times New Roman"/>
          <w:sz w:val="28"/>
          <w:szCs w:val="28"/>
        </w:rPr>
        <w:t>Написание текста и оформление работы в соответ</w:t>
      </w:r>
      <w:r w:rsidRPr="00866026">
        <w:rPr>
          <w:rFonts w:ascii="Times New Roman" w:hAnsi="Times New Roman" w:cs="Times New Roman"/>
          <w:sz w:val="28"/>
          <w:szCs w:val="28"/>
        </w:rPr>
        <w:softHyphen/>
        <w:t>ствии с установленными требованиями.</w:t>
      </w:r>
    </w:p>
    <w:p w:rsidR="00866026" w:rsidRPr="00866026" w:rsidRDefault="00866026" w:rsidP="0086602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6026">
        <w:rPr>
          <w:rFonts w:ascii="Times New Roman" w:hAnsi="Times New Roman" w:cs="Times New Roman"/>
          <w:sz w:val="28"/>
          <w:szCs w:val="28"/>
          <w:u w:val="single"/>
        </w:rPr>
        <w:t>Требования к реферату</w:t>
      </w:r>
    </w:p>
    <w:p w:rsidR="00866026" w:rsidRPr="00866026" w:rsidRDefault="00866026" w:rsidP="00866026">
      <w:pPr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 xml:space="preserve">Объем научного реферата должен быть не менее </w:t>
      </w:r>
      <w:r w:rsidRPr="00866026">
        <w:rPr>
          <w:rFonts w:ascii="Times New Roman" w:hAnsi="Times New Roman" w:cs="Times New Roman"/>
          <w:noProof/>
          <w:sz w:val="28"/>
          <w:szCs w:val="28"/>
        </w:rPr>
        <w:t>25</w:t>
      </w:r>
      <w:r w:rsidRPr="00866026">
        <w:rPr>
          <w:rFonts w:ascii="Times New Roman" w:hAnsi="Times New Roman" w:cs="Times New Roman"/>
          <w:sz w:val="28"/>
          <w:szCs w:val="28"/>
        </w:rPr>
        <w:t xml:space="preserve"> односторонних листов рукописного текста или</w:t>
      </w:r>
      <w:r w:rsidRPr="00866026">
        <w:rPr>
          <w:rFonts w:ascii="Times New Roman" w:hAnsi="Times New Roman" w:cs="Times New Roman"/>
          <w:noProof/>
          <w:sz w:val="28"/>
          <w:szCs w:val="28"/>
        </w:rPr>
        <w:t xml:space="preserve"> 16 </w:t>
      </w:r>
      <w:r w:rsidRPr="00866026">
        <w:rPr>
          <w:rFonts w:ascii="Times New Roman" w:hAnsi="Times New Roman" w:cs="Times New Roman"/>
          <w:sz w:val="28"/>
          <w:szCs w:val="28"/>
        </w:rPr>
        <w:t>листов машинописного текста формата А</w:t>
      </w:r>
      <w:proofErr w:type="gramStart"/>
      <w:r w:rsidRPr="0086602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66026">
        <w:rPr>
          <w:rFonts w:ascii="Times New Roman" w:hAnsi="Times New Roman" w:cs="Times New Roman"/>
          <w:noProof/>
          <w:sz w:val="28"/>
          <w:szCs w:val="28"/>
        </w:rPr>
        <w:t>.</w:t>
      </w:r>
      <w:r w:rsidRPr="00866026">
        <w:rPr>
          <w:rFonts w:ascii="Times New Roman" w:hAnsi="Times New Roman" w:cs="Times New Roman"/>
          <w:sz w:val="28"/>
          <w:szCs w:val="28"/>
        </w:rPr>
        <w:t xml:space="preserve"> Он должен быть сброшюрован, иметь титульный лист, содержа</w:t>
      </w:r>
      <w:r w:rsidRPr="00866026">
        <w:rPr>
          <w:rFonts w:ascii="Times New Roman" w:hAnsi="Times New Roman" w:cs="Times New Roman"/>
          <w:sz w:val="28"/>
          <w:szCs w:val="28"/>
        </w:rPr>
        <w:softHyphen/>
        <w:t>ние (на отдельной странице), введение, основные положения (по разделам) и список использованной литературы. Нумерацию страниц проводят в правом верхнем углу арабскими цифрами с точкой. Нумера</w:t>
      </w:r>
      <w:r w:rsidRPr="00866026">
        <w:rPr>
          <w:rFonts w:ascii="Times New Roman" w:hAnsi="Times New Roman" w:cs="Times New Roman"/>
          <w:sz w:val="28"/>
          <w:szCs w:val="28"/>
        </w:rPr>
        <w:softHyphen/>
        <w:t>ция страниц текста начинается с цифры</w:t>
      </w:r>
      <w:r w:rsidRPr="00866026">
        <w:rPr>
          <w:rFonts w:ascii="Times New Roman" w:hAnsi="Times New Roman" w:cs="Times New Roman"/>
          <w:noProof/>
          <w:sz w:val="28"/>
          <w:szCs w:val="28"/>
        </w:rPr>
        <w:t xml:space="preserve"> 3.</w:t>
      </w:r>
    </w:p>
    <w:p w:rsidR="00866026" w:rsidRPr="00866026" w:rsidRDefault="00866026" w:rsidP="00866026">
      <w:pPr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  <w:u w:val="single"/>
        </w:rPr>
        <w:t>Титульный лист</w:t>
      </w:r>
      <w:r w:rsidRPr="00866026">
        <w:rPr>
          <w:rFonts w:ascii="Times New Roman" w:hAnsi="Times New Roman" w:cs="Times New Roman"/>
          <w:sz w:val="28"/>
          <w:szCs w:val="28"/>
        </w:rPr>
        <w:t xml:space="preserve"> должен иметь следующую информацию</w:t>
      </w:r>
      <w:r w:rsidRPr="008660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866026" w:rsidRPr="00866026" w:rsidRDefault="00866026" w:rsidP="00866026">
      <w:pPr>
        <w:widowControl w:val="0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наименование вуза, факультета, кафедры (заглав</w:t>
      </w:r>
      <w:r w:rsidRPr="00866026">
        <w:rPr>
          <w:rFonts w:ascii="Times New Roman" w:hAnsi="Times New Roman" w:cs="Times New Roman"/>
          <w:sz w:val="28"/>
          <w:szCs w:val="28"/>
        </w:rPr>
        <w:softHyphen/>
        <w:t>ными буквами, каждое наименование записывается с отдельной строки)</w:t>
      </w:r>
      <w:r w:rsidRPr="00866026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866026" w:rsidRPr="00866026" w:rsidRDefault="00866026" w:rsidP="00866026">
      <w:pPr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noProof/>
          <w:sz w:val="28"/>
          <w:szCs w:val="28"/>
        </w:rPr>
        <w:t>-</w:t>
      </w:r>
      <w:r w:rsidRPr="00866026">
        <w:rPr>
          <w:rFonts w:ascii="Times New Roman" w:hAnsi="Times New Roman" w:cs="Times New Roman"/>
          <w:sz w:val="28"/>
          <w:szCs w:val="28"/>
        </w:rPr>
        <w:t xml:space="preserve"> тема реферата (заглавными буквами);</w:t>
      </w:r>
    </w:p>
    <w:p w:rsidR="00866026" w:rsidRPr="00866026" w:rsidRDefault="00866026" w:rsidP="00866026">
      <w:pPr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noProof/>
          <w:sz w:val="28"/>
          <w:szCs w:val="28"/>
        </w:rPr>
        <w:t>-</w:t>
      </w:r>
      <w:r w:rsidRPr="00866026">
        <w:rPr>
          <w:rFonts w:ascii="Times New Roman" w:hAnsi="Times New Roman" w:cs="Times New Roman"/>
          <w:sz w:val="28"/>
          <w:szCs w:val="28"/>
        </w:rPr>
        <w:t xml:space="preserve"> фамилия и инициалы автора с указанием номера группы;</w:t>
      </w:r>
    </w:p>
    <w:p w:rsidR="00866026" w:rsidRPr="00866026" w:rsidRDefault="00866026" w:rsidP="00866026">
      <w:pPr>
        <w:widowControl w:val="0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фамилия, инициалы, ученая степень и звание пре</w:t>
      </w:r>
      <w:r w:rsidRPr="00866026">
        <w:rPr>
          <w:rFonts w:ascii="Times New Roman" w:hAnsi="Times New Roman" w:cs="Times New Roman"/>
          <w:sz w:val="28"/>
          <w:szCs w:val="28"/>
        </w:rPr>
        <w:softHyphen/>
        <w:t>подавателя</w:t>
      </w:r>
      <w:r w:rsidRPr="00866026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Pr="00866026">
        <w:rPr>
          <w:rFonts w:ascii="Times New Roman" w:hAnsi="Times New Roman" w:cs="Times New Roman"/>
          <w:sz w:val="28"/>
          <w:szCs w:val="28"/>
        </w:rPr>
        <w:t xml:space="preserve"> консультанта;</w:t>
      </w:r>
    </w:p>
    <w:p w:rsidR="00866026" w:rsidRPr="00866026" w:rsidRDefault="00866026" w:rsidP="00866026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66026">
        <w:rPr>
          <w:rFonts w:ascii="Times New Roman" w:hAnsi="Times New Roman" w:cs="Times New Roman"/>
          <w:noProof/>
          <w:sz w:val="28"/>
          <w:szCs w:val="28"/>
        </w:rPr>
        <w:t>-</w:t>
      </w:r>
      <w:r w:rsidRPr="00866026">
        <w:rPr>
          <w:rFonts w:ascii="Times New Roman" w:hAnsi="Times New Roman" w:cs="Times New Roman"/>
          <w:sz w:val="28"/>
          <w:szCs w:val="28"/>
        </w:rPr>
        <w:t xml:space="preserve"> место и год написания реферата. Для перечисленных в списке реферируемых работ должны быть указаны полные выходные данные на языке оригинала;</w:t>
      </w:r>
    </w:p>
    <w:p w:rsidR="00866026" w:rsidRPr="00866026" w:rsidRDefault="00866026" w:rsidP="00866026">
      <w:pPr>
        <w:widowControl w:val="0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фамилия и инициалы автора (авторов)</w:t>
      </w:r>
      <w:r w:rsidRPr="00866026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866026" w:rsidRPr="00866026" w:rsidRDefault="00866026" w:rsidP="00866026">
      <w:pPr>
        <w:widowControl w:val="0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название работы (книга, брошюра, статья)</w:t>
      </w:r>
      <w:r w:rsidRPr="00866026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866026" w:rsidRPr="00866026" w:rsidRDefault="00866026" w:rsidP="00866026">
      <w:pPr>
        <w:widowControl w:val="0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t>название и номер журнала (для журнальных ста</w:t>
      </w:r>
      <w:r w:rsidRPr="00866026">
        <w:rPr>
          <w:rFonts w:ascii="Times New Roman" w:hAnsi="Times New Roman" w:cs="Times New Roman"/>
          <w:sz w:val="28"/>
          <w:szCs w:val="28"/>
        </w:rPr>
        <w:softHyphen/>
        <w:t>тей)</w:t>
      </w:r>
      <w:r w:rsidRPr="00866026">
        <w:rPr>
          <w:rFonts w:ascii="Times New Roman" w:hAnsi="Times New Roman" w:cs="Times New Roman"/>
          <w:noProof/>
          <w:sz w:val="28"/>
          <w:szCs w:val="28"/>
        </w:rPr>
        <w:t xml:space="preserve"> ;</w:t>
      </w:r>
    </w:p>
    <w:p w:rsidR="00866026" w:rsidRPr="00866026" w:rsidRDefault="00866026" w:rsidP="00866026">
      <w:pPr>
        <w:widowControl w:val="0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6026">
        <w:rPr>
          <w:rFonts w:ascii="Times New Roman" w:hAnsi="Times New Roman" w:cs="Times New Roman"/>
          <w:sz w:val="28"/>
          <w:szCs w:val="28"/>
        </w:rPr>
        <w:lastRenderedPageBreak/>
        <w:t>место, издательство  и год издания работы;</w:t>
      </w:r>
    </w:p>
    <w:p w:rsidR="00866026" w:rsidRPr="00866026" w:rsidRDefault="00866026" w:rsidP="00866026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66026">
        <w:rPr>
          <w:rFonts w:ascii="Times New Roman" w:hAnsi="Times New Roman" w:cs="Times New Roman"/>
          <w:noProof/>
          <w:sz w:val="28"/>
          <w:szCs w:val="28"/>
        </w:rPr>
        <w:t>-</w:t>
      </w:r>
      <w:r w:rsidRPr="00866026">
        <w:rPr>
          <w:rFonts w:ascii="Times New Roman" w:hAnsi="Times New Roman" w:cs="Times New Roman"/>
          <w:sz w:val="28"/>
          <w:szCs w:val="28"/>
        </w:rPr>
        <w:t xml:space="preserve"> количество страниц (общее</w:t>
      </w:r>
      <w:r w:rsidRPr="00866026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Pr="00866026">
        <w:rPr>
          <w:rFonts w:ascii="Times New Roman" w:hAnsi="Times New Roman" w:cs="Times New Roman"/>
          <w:sz w:val="28"/>
          <w:szCs w:val="28"/>
        </w:rPr>
        <w:t xml:space="preserve"> для книг и брошюр и конкретные страницы</w:t>
      </w:r>
      <w:r w:rsidRPr="00866026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Pr="00866026">
        <w:rPr>
          <w:rFonts w:ascii="Times New Roman" w:hAnsi="Times New Roman" w:cs="Times New Roman"/>
          <w:sz w:val="28"/>
          <w:szCs w:val="28"/>
        </w:rPr>
        <w:t xml:space="preserve"> для статей и обзоров)</w:t>
      </w:r>
      <w:r w:rsidRPr="00866026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866026">
        <w:rPr>
          <w:rFonts w:ascii="Times New Roman" w:hAnsi="Times New Roman" w:cs="Times New Roman"/>
          <w:sz w:val="28"/>
          <w:szCs w:val="28"/>
        </w:rPr>
        <w:t>Ссылки на использованную литературу даются в тексте арабскими цифрами с заключением их в квадратные скобки</w:t>
      </w:r>
      <w:r w:rsidRPr="00866026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000000" w:rsidRPr="00866026" w:rsidRDefault="00866026" w:rsidP="008660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0000" w:rsidRPr="00866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10460"/>
    <w:multiLevelType w:val="singleLevel"/>
    <w:tmpl w:val="43DA6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70D55ADB"/>
    <w:multiLevelType w:val="singleLevel"/>
    <w:tmpl w:val="7838592C"/>
    <w:lvl w:ilvl="0">
      <w:start w:val="3"/>
      <w:numFmt w:val="bullet"/>
      <w:lvlText w:val="-"/>
      <w:lvlJc w:val="left"/>
      <w:pPr>
        <w:tabs>
          <w:tab w:val="num" w:pos="380"/>
        </w:tabs>
        <w:ind w:left="3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66026"/>
    <w:rsid w:val="0086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602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866026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-carbon.info/?p=11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AfanasievaFN</dc:creator>
  <cp:keywords/>
  <dc:description/>
  <cp:lastModifiedBy>AfanasievaFN</cp:lastModifiedBy>
  <cp:revision>2</cp:revision>
  <dcterms:created xsi:type="dcterms:W3CDTF">2015-02-27T04:00:00Z</dcterms:created>
  <dcterms:modified xsi:type="dcterms:W3CDTF">2015-02-27T04:05:00Z</dcterms:modified>
</cp:coreProperties>
</file>