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45E" w:rsidRPr="0099045E" w:rsidRDefault="0099045E" w:rsidP="0099045E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C5F4B" w:rsidRDefault="0099045E" w:rsidP="0099045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</w:t>
      </w:r>
      <w:r w:rsidR="00A154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четная политика сельскохозяйственного предприятия:</w:t>
      </w:r>
      <w:r w:rsidRPr="0099045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особенности её составления</w:t>
      </w:r>
    </w:p>
    <w:p w:rsidR="0099045E" w:rsidRDefault="00A15475" w:rsidP="0099045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Аннотация: в данной статье рассмотрена сущность понятия учетная политика, данные которые она включает в себя. </w:t>
      </w:r>
      <w:r w:rsidR="000329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Рассмотрены основные </w:t>
      </w:r>
      <w:proofErr w:type="gramStart"/>
      <w:r w:rsidR="000329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положения</w:t>
      </w:r>
      <w:proofErr w:type="gramEnd"/>
      <w:r w:rsidR="000329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которые необходимо отразить в положении об учетной политики и установленная ответственность за данные нарушения.</w:t>
      </w:r>
    </w:p>
    <w:p w:rsidR="00312D43" w:rsidRDefault="00312D43" w:rsidP="0099045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2D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Переход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Pr="00312D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рыночн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ые отношения</w:t>
      </w:r>
      <w:r w:rsidRPr="00312D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привел 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возникновению потребности в преобразовании</w:t>
      </w:r>
      <w:r w:rsidRPr="00312D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всей системы управления.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Любой хозяйствующий субъект должен организовать ведение бухгалтерского </w:t>
      </w:r>
      <w:r w:rsidRPr="00312D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учета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Одним из его основных элементов является учетная политика, в которой прописывается основные особенности и порядок ведения учета хозяйственных операций </w:t>
      </w:r>
      <w:r w:rsidRPr="00312D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предприятии.</w:t>
      </w:r>
      <w:r w:rsidRPr="00312D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03293D" w:rsidRDefault="0003293D" w:rsidP="0099045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Проблема разработки учетной политики особенно актуальна для сельскохозяйственных организаций, что обусловлено не только спецификой отрасли, но и сложностью становления управленческого учета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сельхозорганизациях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03293D" w:rsidRDefault="0003293D" w:rsidP="0099045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 учетной политикой организации согласно ПБУ 1/ понимается принятая ею совокупность способов ведения бухгалтерского учета – первичного наблюдения, стоимостного измерения, текущей группировки и итогового обобщения фактов хозяйственной деятельности, что дает все необходимые основания для ведения бухгалтерского учета соответствии с целями конкретной организации. </w:t>
      </w:r>
      <w:r w:rsidR="00312D43" w:rsidRPr="00312D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Учетная политика – это свод правил и </w:t>
      </w:r>
      <w:proofErr w:type="gramStart"/>
      <w:r w:rsidR="00312D43" w:rsidRPr="00312D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закономерностей</w:t>
      </w:r>
      <w:proofErr w:type="gramEnd"/>
      <w:r w:rsidR="00312D43" w:rsidRPr="00312D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применяемых при осуществлении учета в конкретной организации. 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1"/>
      </w:r>
    </w:p>
    <w:p w:rsidR="00312D43" w:rsidRDefault="00312D43" w:rsidP="0099045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2D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Данным документом бухгалтера руководствуются при выборе управленческих особенностей учета.</w:t>
      </w:r>
      <w:r w:rsidRPr="00312D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C2B09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2"/>
      </w:r>
    </w:p>
    <w:p w:rsidR="0001222E" w:rsidRDefault="001C2B09" w:rsidP="0099045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Учетная политика формируется </w:t>
      </w:r>
      <w:r w:rsidR="00012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главным бухгалтером и утверждается руководителем организации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12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Ее обязаны придерживаться все структурные подразделения организации, включая выделенные на отдельный баланс.</w:t>
      </w:r>
    </w:p>
    <w:p w:rsidR="001C2B09" w:rsidRDefault="0001222E" w:rsidP="0099045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Принять и утвердить учетную политику целесообразно с момента начала осуществления организацией финансово-хозяйственной деятельности.</w:t>
      </w:r>
    </w:p>
    <w:p w:rsidR="0001222E" w:rsidRPr="0001222E" w:rsidRDefault="0001222E" w:rsidP="0001222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2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Учетная политика на 2016 год должна включать в себя, в частности:</w:t>
      </w:r>
    </w:p>
    <w:p w:rsidR="0001222E" w:rsidRPr="0003293D" w:rsidRDefault="0001222E" w:rsidP="0003293D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29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рабочий план счетов;</w:t>
      </w:r>
    </w:p>
    <w:p w:rsidR="0001222E" w:rsidRPr="0003293D" w:rsidRDefault="0001222E" w:rsidP="0003293D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29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формы первичных документов;</w:t>
      </w:r>
    </w:p>
    <w:p w:rsidR="0001222E" w:rsidRPr="0003293D" w:rsidRDefault="0001222E" w:rsidP="0003293D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29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регистры бухучета;</w:t>
      </w:r>
    </w:p>
    <w:p w:rsidR="0001222E" w:rsidRPr="0003293D" w:rsidRDefault="0001222E" w:rsidP="0003293D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29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формы документов для внутренней бухгалтерской отчетности (если организация планирует ее составлять);</w:t>
      </w:r>
    </w:p>
    <w:p w:rsidR="0001222E" w:rsidRPr="0003293D" w:rsidRDefault="0001222E" w:rsidP="0003293D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29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порядок проведения инвентаризации;</w:t>
      </w:r>
    </w:p>
    <w:p w:rsidR="0001222E" w:rsidRPr="0003293D" w:rsidRDefault="0001222E" w:rsidP="0003293D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29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методы оценки активов и обязательств;</w:t>
      </w:r>
    </w:p>
    <w:p w:rsidR="0001222E" w:rsidRPr="0003293D" w:rsidRDefault="0001222E" w:rsidP="0003293D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29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порядок документооборота, технологию обработки учетной информации;</w:t>
      </w:r>
    </w:p>
    <w:p w:rsidR="0001222E" w:rsidRPr="0003293D" w:rsidRDefault="0001222E" w:rsidP="0003293D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29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порядок контроля хозяйственных операций;</w:t>
      </w:r>
    </w:p>
    <w:p w:rsidR="0001222E" w:rsidRPr="0003293D" w:rsidRDefault="0001222E" w:rsidP="0003293D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29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другие элементы и принципы, влияющие на организацию бухучета.</w:t>
      </w:r>
    </w:p>
    <w:p w:rsidR="0001222E" w:rsidRDefault="0001222E" w:rsidP="0001222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Рассмотрим основные положения, которые необходимо отразить в положении об учетной политики: </w:t>
      </w:r>
      <w:proofErr w:type="gramEnd"/>
    </w:p>
    <w:p w:rsidR="0001222E" w:rsidRDefault="0001222E" w:rsidP="0001222E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Таблица 1 – Учетная политика в 2016г</w:t>
      </w:r>
      <w:r w:rsidR="000F2A97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3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01222E" w:rsidRPr="0053774C" w:rsidTr="0001222E">
        <w:tc>
          <w:tcPr>
            <w:tcW w:w="3190" w:type="dxa"/>
          </w:tcPr>
          <w:p w:rsidR="0001222E" w:rsidRPr="0053774C" w:rsidRDefault="0001222E" w:rsidP="00A154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77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Пункт УП</w:t>
            </w:r>
          </w:p>
        </w:tc>
        <w:tc>
          <w:tcPr>
            <w:tcW w:w="3190" w:type="dxa"/>
          </w:tcPr>
          <w:p w:rsidR="0001222E" w:rsidRPr="0053774C" w:rsidRDefault="0001222E" w:rsidP="00A154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77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Описание  </w:t>
            </w:r>
          </w:p>
        </w:tc>
        <w:tc>
          <w:tcPr>
            <w:tcW w:w="3191" w:type="dxa"/>
          </w:tcPr>
          <w:p w:rsidR="0001222E" w:rsidRPr="0053774C" w:rsidRDefault="0001222E" w:rsidP="00A154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77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Ответственность</w:t>
            </w:r>
          </w:p>
        </w:tc>
      </w:tr>
      <w:tr w:rsidR="0001222E" w:rsidRPr="0053774C" w:rsidTr="0001222E">
        <w:tc>
          <w:tcPr>
            <w:tcW w:w="3190" w:type="dxa"/>
          </w:tcPr>
          <w:p w:rsidR="0001222E" w:rsidRPr="0053774C" w:rsidRDefault="0001222E" w:rsidP="00A154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77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Бухгалтерская отчетность</w:t>
            </w:r>
          </w:p>
        </w:tc>
        <w:tc>
          <w:tcPr>
            <w:tcW w:w="3190" w:type="dxa"/>
          </w:tcPr>
          <w:p w:rsidR="0001222E" w:rsidRPr="0053774C" w:rsidRDefault="0001222E" w:rsidP="00A154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77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промежуточной отчетности;</w:t>
            </w:r>
            <w:r w:rsidR="0053774C" w:rsidRPr="005377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перечень форм бухгалтерской отчетности</w:t>
            </w:r>
          </w:p>
        </w:tc>
        <w:tc>
          <w:tcPr>
            <w:tcW w:w="3191" w:type="dxa"/>
          </w:tcPr>
          <w:p w:rsidR="0001222E" w:rsidRPr="0053774C" w:rsidRDefault="0053774C" w:rsidP="00A154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77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Штраф 200 руб. за каждую несданную форму</w:t>
            </w:r>
          </w:p>
        </w:tc>
      </w:tr>
      <w:tr w:rsidR="0001222E" w:rsidRPr="0053774C" w:rsidTr="0001222E">
        <w:tc>
          <w:tcPr>
            <w:tcW w:w="3190" w:type="dxa"/>
          </w:tcPr>
          <w:p w:rsidR="0001222E" w:rsidRPr="0053774C" w:rsidRDefault="0053774C" w:rsidP="00A154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77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Формы первичных учетных документов</w:t>
            </w:r>
          </w:p>
        </w:tc>
        <w:tc>
          <w:tcPr>
            <w:tcW w:w="3190" w:type="dxa"/>
          </w:tcPr>
          <w:p w:rsidR="0001222E" w:rsidRPr="0053774C" w:rsidRDefault="0053774C" w:rsidP="00A154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77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Перечислить типовые формы и реквизиты </w:t>
            </w:r>
            <w:r w:rsidRPr="005377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нормативного акта</w:t>
            </w:r>
          </w:p>
        </w:tc>
        <w:tc>
          <w:tcPr>
            <w:tcW w:w="3191" w:type="dxa"/>
          </w:tcPr>
          <w:p w:rsidR="0001222E" w:rsidRPr="0053774C" w:rsidRDefault="0053774C" w:rsidP="00A154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77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Снятие расходов и вычетов НДС, доначисление налогов</w:t>
            </w:r>
          </w:p>
        </w:tc>
      </w:tr>
      <w:tr w:rsidR="0053774C" w:rsidRPr="0053774C" w:rsidTr="0001222E">
        <w:tc>
          <w:tcPr>
            <w:tcW w:w="3190" w:type="dxa"/>
          </w:tcPr>
          <w:p w:rsidR="0053774C" w:rsidRPr="0053774C" w:rsidRDefault="0053774C" w:rsidP="00A154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77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Право подписи первичных документов</w:t>
            </w:r>
          </w:p>
        </w:tc>
        <w:tc>
          <w:tcPr>
            <w:tcW w:w="3190" w:type="dxa"/>
          </w:tcPr>
          <w:p w:rsidR="0053774C" w:rsidRPr="0053774C" w:rsidRDefault="0053774C" w:rsidP="00A154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77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Список сотрудников уполномоченных подписывать документы</w:t>
            </w:r>
          </w:p>
        </w:tc>
        <w:tc>
          <w:tcPr>
            <w:tcW w:w="3191" w:type="dxa"/>
          </w:tcPr>
          <w:p w:rsidR="0053774C" w:rsidRPr="0053774C" w:rsidRDefault="0053774C" w:rsidP="00A154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77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Снятие расходов и вычетов НДС, доначисление налогов</w:t>
            </w:r>
          </w:p>
        </w:tc>
      </w:tr>
      <w:tr w:rsidR="0053774C" w:rsidRPr="0053774C" w:rsidTr="0001222E">
        <w:tc>
          <w:tcPr>
            <w:tcW w:w="3190" w:type="dxa"/>
          </w:tcPr>
          <w:p w:rsidR="0053774C" w:rsidRPr="0053774C" w:rsidRDefault="0053774C" w:rsidP="00A154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Учет МПЗ</w:t>
            </w:r>
          </w:p>
        </w:tc>
        <w:tc>
          <w:tcPr>
            <w:tcW w:w="3190" w:type="dxa"/>
          </w:tcPr>
          <w:p w:rsidR="0053774C" w:rsidRPr="0053774C" w:rsidRDefault="0053774C" w:rsidP="00A154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Выбор единицы учета МПЗ, оценка поступающих МПЗ, метод оценки материалов при отпуске в производство</w:t>
            </w:r>
          </w:p>
        </w:tc>
        <w:tc>
          <w:tcPr>
            <w:tcW w:w="3191" w:type="dxa"/>
          </w:tcPr>
          <w:p w:rsidR="0053774C" w:rsidRPr="0053774C" w:rsidRDefault="0053774C" w:rsidP="00A154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Признание отчетности компании недостоверной</w:t>
            </w:r>
          </w:p>
        </w:tc>
      </w:tr>
      <w:tr w:rsidR="0053774C" w:rsidRPr="0053774C" w:rsidTr="0001222E">
        <w:tc>
          <w:tcPr>
            <w:tcW w:w="3190" w:type="dxa"/>
          </w:tcPr>
          <w:p w:rsidR="0053774C" w:rsidRDefault="0053774C" w:rsidP="00A154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Учет активов и обязательств, выраженных в иностранной валюте</w:t>
            </w:r>
          </w:p>
        </w:tc>
        <w:tc>
          <w:tcPr>
            <w:tcW w:w="3190" w:type="dxa"/>
          </w:tcPr>
          <w:p w:rsidR="0053774C" w:rsidRDefault="0053774C" w:rsidP="00A154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Дата определения курсовой разницы</w:t>
            </w:r>
          </w:p>
        </w:tc>
        <w:tc>
          <w:tcPr>
            <w:tcW w:w="3191" w:type="dxa"/>
          </w:tcPr>
          <w:p w:rsidR="0053774C" w:rsidRDefault="0053774C" w:rsidP="00A154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Признание отчетности компании недостоверной</w:t>
            </w:r>
          </w:p>
        </w:tc>
      </w:tr>
      <w:tr w:rsidR="0053774C" w:rsidRPr="0053774C" w:rsidTr="0001222E">
        <w:tc>
          <w:tcPr>
            <w:tcW w:w="3190" w:type="dxa"/>
          </w:tcPr>
          <w:p w:rsidR="0053774C" w:rsidRDefault="0053774C" w:rsidP="00A154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Доходы и расходы организации</w:t>
            </w:r>
          </w:p>
        </w:tc>
        <w:tc>
          <w:tcPr>
            <w:tcW w:w="3190" w:type="dxa"/>
          </w:tcPr>
          <w:p w:rsidR="0053774C" w:rsidRDefault="0053774C" w:rsidP="00A154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Признание коммерческих и управленческих расходов, выручки, оценка незавершенного производства</w:t>
            </w:r>
          </w:p>
        </w:tc>
        <w:tc>
          <w:tcPr>
            <w:tcW w:w="3191" w:type="dxa"/>
          </w:tcPr>
          <w:p w:rsidR="0053774C" w:rsidRDefault="0053774C" w:rsidP="00A154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Признание отчетности компании недостоверной</w:t>
            </w:r>
          </w:p>
        </w:tc>
      </w:tr>
      <w:tr w:rsidR="0053774C" w:rsidRPr="0053774C" w:rsidTr="0001222E">
        <w:tc>
          <w:tcPr>
            <w:tcW w:w="3190" w:type="dxa"/>
          </w:tcPr>
          <w:p w:rsidR="0053774C" w:rsidRDefault="0053774C" w:rsidP="00A154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Учет расчетов по налогу на прибыль</w:t>
            </w:r>
          </w:p>
        </w:tc>
        <w:tc>
          <w:tcPr>
            <w:tcW w:w="3190" w:type="dxa"/>
          </w:tcPr>
          <w:p w:rsidR="0053774C" w:rsidRDefault="0053774C" w:rsidP="00A154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Определение величины текущего налога на прибыль</w:t>
            </w:r>
          </w:p>
        </w:tc>
        <w:tc>
          <w:tcPr>
            <w:tcW w:w="3191" w:type="dxa"/>
          </w:tcPr>
          <w:p w:rsidR="0053774C" w:rsidRDefault="0053774C" w:rsidP="00A154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Признание отчетности компании недостоверной</w:t>
            </w:r>
          </w:p>
        </w:tc>
      </w:tr>
      <w:tr w:rsidR="0053774C" w:rsidRPr="0053774C" w:rsidTr="0001222E">
        <w:tc>
          <w:tcPr>
            <w:tcW w:w="3190" w:type="dxa"/>
          </w:tcPr>
          <w:p w:rsidR="0053774C" w:rsidRDefault="0053774C" w:rsidP="00A154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фондов и резервов</w:t>
            </w:r>
          </w:p>
        </w:tc>
        <w:tc>
          <w:tcPr>
            <w:tcW w:w="3190" w:type="dxa"/>
          </w:tcPr>
          <w:p w:rsidR="0053774C" w:rsidRDefault="0053774C" w:rsidP="00A154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Порядок создания резерва по сомнительным долгам</w:t>
            </w:r>
          </w:p>
        </w:tc>
        <w:tc>
          <w:tcPr>
            <w:tcW w:w="3191" w:type="dxa"/>
          </w:tcPr>
          <w:p w:rsidR="0053774C" w:rsidRDefault="00A15475" w:rsidP="00A154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Признание отчетности компании недостоверной</w:t>
            </w:r>
          </w:p>
        </w:tc>
      </w:tr>
      <w:tr w:rsidR="00A15475" w:rsidRPr="0053774C" w:rsidTr="0001222E">
        <w:tc>
          <w:tcPr>
            <w:tcW w:w="3190" w:type="dxa"/>
          </w:tcPr>
          <w:p w:rsidR="00A15475" w:rsidRDefault="00A15475" w:rsidP="00A154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Учет основных средств</w:t>
            </w:r>
          </w:p>
        </w:tc>
        <w:tc>
          <w:tcPr>
            <w:tcW w:w="3190" w:type="dxa"/>
          </w:tcPr>
          <w:p w:rsidR="00A15475" w:rsidRDefault="00A15475" w:rsidP="00A154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Срок полезного использования, способ начисления амортизации, способ списания основных средств</w:t>
            </w:r>
          </w:p>
        </w:tc>
        <w:tc>
          <w:tcPr>
            <w:tcW w:w="3191" w:type="dxa"/>
          </w:tcPr>
          <w:p w:rsidR="00A15475" w:rsidRDefault="00A15475" w:rsidP="00A154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Доначисление налога на имущество, при допущении ошибки в определении остаточной стоимости</w:t>
            </w:r>
          </w:p>
        </w:tc>
      </w:tr>
    </w:tbl>
    <w:p w:rsidR="00A15475" w:rsidRDefault="00A15475" w:rsidP="00A154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54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же организации, осуществляющие как облагаемую НДС, так и необлагаемую НДС деятельность должны позаботиться о составе прямых расходов для каждого вида деятельности и методику распределения косвенных. Это нужно для корректного применения права принимать к вычету весь входной НДС в тех налоговых периодах, в которых доля расходов на необлагаемые НДС операции составила менее 5% в общей сумме расходов.</w:t>
      </w:r>
    </w:p>
    <w:p w:rsidR="00E40DCD" w:rsidRDefault="0003293D" w:rsidP="00A154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связи с особенностями </w:t>
      </w:r>
      <w:r w:rsidR="00E40D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функционирования деятельности сельскохозяйственных предприятий к формированию учетной политики необходимо  подходить более тщательно, при необходимости прибегать к помощи компетентных специалистов</w:t>
      </w:r>
      <w:proofErr w:type="gramStart"/>
      <w:r w:rsidR="00E40D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0F2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Следует отметить, что при создании учетной политики необходимо использовать нормы международных стандартов, так как </w:t>
      </w:r>
      <w:r w:rsidR="000F2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настоящее время</w:t>
      </w:r>
      <w:r w:rsidR="000F2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происходит  трансформация </w:t>
      </w:r>
      <w:bookmarkStart w:id="0" w:name="_GoBack"/>
      <w:bookmarkEnd w:id="0"/>
      <w:r w:rsidR="000F2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бухгалтерского учета.</w:t>
      </w:r>
    </w:p>
    <w:p w:rsidR="0001222E" w:rsidRPr="00312D43" w:rsidRDefault="0001222E" w:rsidP="00A154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2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sectPr w:rsidR="0001222E" w:rsidRPr="00312D43" w:rsidSect="000329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DFA" w:rsidRDefault="00644DFA" w:rsidP="001C2B09">
      <w:pPr>
        <w:spacing w:after="0" w:line="240" w:lineRule="auto"/>
      </w:pPr>
      <w:r>
        <w:separator/>
      </w:r>
    </w:p>
  </w:endnote>
  <w:endnote w:type="continuationSeparator" w:id="0">
    <w:p w:rsidR="00644DFA" w:rsidRDefault="00644DFA" w:rsidP="001C2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DFA" w:rsidRDefault="00644DFA" w:rsidP="001C2B09">
      <w:pPr>
        <w:spacing w:after="0" w:line="240" w:lineRule="auto"/>
      </w:pPr>
      <w:r>
        <w:separator/>
      </w:r>
    </w:p>
  </w:footnote>
  <w:footnote w:type="continuationSeparator" w:id="0">
    <w:p w:rsidR="00644DFA" w:rsidRDefault="00644DFA" w:rsidP="001C2B09">
      <w:pPr>
        <w:spacing w:after="0" w:line="240" w:lineRule="auto"/>
      </w:pPr>
      <w:r>
        <w:continuationSeparator/>
      </w:r>
    </w:p>
  </w:footnote>
  <w:footnote w:id="1">
    <w:p w:rsidR="0003293D" w:rsidRPr="0003293D" w:rsidRDefault="0003293D">
      <w:pPr>
        <w:pStyle w:val="a3"/>
      </w:pPr>
      <w:r>
        <w:rPr>
          <w:rStyle w:val="a5"/>
        </w:rPr>
        <w:footnoteRef/>
      </w:r>
      <w:r>
        <w:t xml:space="preserve"> Игошина Ю.А. Учетная политика для сельскохозяйственных организаций в целях управленческого учета </w:t>
      </w:r>
      <w:r w:rsidRPr="0003293D">
        <w:t>[</w:t>
      </w:r>
      <w:r>
        <w:t>Электронный ресурс</w:t>
      </w:r>
      <w:r w:rsidRPr="0003293D">
        <w:t>]</w:t>
      </w:r>
      <w:r>
        <w:t xml:space="preserve"> / Ю.А. Игошина // Вестник Алтайского государственного аграрного университета, 2011 - №4/том 78. – Режим доступа: </w:t>
      </w:r>
      <w:r w:rsidRPr="0003293D">
        <w:t>http://cyberleninka.ru/article/n/uchetnaya-politika-dlya-selskohozyaystvennyh-organizatsiy-v-tselyah-upravlencheskogo-ucheta</w:t>
      </w:r>
    </w:p>
  </w:footnote>
  <w:footnote w:id="2">
    <w:p w:rsidR="001C2B09" w:rsidRPr="001C2B09" w:rsidRDefault="001C2B09">
      <w:pPr>
        <w:pStyle w:val="a3"/>
      </w:pPr>
      <w:r>
        <w:rPr>
          <w:rStyle w:val="a5"/>
        </w:rPr>
        <w:footnoteRef/>
      </w:r>
      <w:r>
        <w:t xml:space="preserve"> Составление учетной политики и ее значение для бухгалтерского и налогового учета </w:t>
      </w:r>
      <w:r w:rsidRPr="001C2B09">
        <w:t>[</w:t>
      </w:r>
      <w:r>
        <w:t>Электронный ресурс</w:t>
      </w:r>
      <w:r w:rsidRPr="001C2B09">
        <w:t>]</w:t>
      </w:r>
      <w:r>
        <w:t xml:space="preserve">. Режим доступа: </w:t>
      </w:r>
      <w:r w:rsidRPr="001C2B09">
        <w:t>http://www.bdmow-audit.ru/articles/articles_3.htm</w:t>
      </w:r>
    </w:p>
  </w:footnote>
  <w:footnote w:id="3">
    <w:p w:rsidR="000F2A97" w:rsidRDefault="000F2A97">
      <w:pPr>
        <w:pStyle w:val="a3"/>
      </w:pPr>
      <w:r>
        <w:rPr>
          <w:rStyle w:val="a5"/>
        </w:rPr>
        <w:footnoteRef/>
      </w:r>
      <w:r>
        <w:t xml:space="preserve"> Учетная политика на 2016 год: основные положения </w:t>
      </w:r>
      <w:r w:rsidRPr="000F2A97">
        <w:t>[</w:t>
      </w:r>
      <w:r>
        <w:t>Электронный ресурс</w:t>
      </w:r>
      <w:r w:rsidRPr="000F2A97">
        <w:t>]</w:t>
      </w:r>
      <w:r>
        <w:t xml:space="preserve">. – Режим доступа: </w:t>
      </w:r>
      <w:r w:rsidRPr="000F2A97">
        <w:t>http://www.glavbukh.ru/art/21001-uchetnaya-politika-na-na-2016-god-osnovnye-polojeniya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F56A8"/>
    <w:multiLevelType w:val="hybridMultilevel"/>
    <w:tmpl w:val="62B66E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D7C0E54"/>
    <w:multiLevelType w:val="multilevel"/>
    <w:tmpl w:val="C35A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45E"/>
    <w:rsid w:val="0001222E"/>
    <w:rsid w:val="0003293D"/>
    <w:rsid w:val="000F2A97"/>
    <w:rsid w:val="001C2B09"/>
    <w:rsid w:val="00312D43"/>
    <w:rsid w:val="0053774C"/>
    <w:rsid w:val="00644DFA"/>
    <w:rsid w:val="0099045E"/>
    <w:rsid w:val="00A15475"/>
    <w:rsid w:val="00B92AF1"/>
    <w:rsid w:val="00BA6565"/>
    <w:rsid w:val="00E4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12D43"/>
  </w:style>
  <w:style w:type="paragraph" w:styleId="a3">
    <w:name w:val="footnote text"/>
    <w:basedOn w:val="a"/>
    <w:link w:val="a4"/>
    <w:uiPriority w:val="99"/>
    <w:semiHidden/>
    <w:unhideWhenUsed/>
    <w:rsid w:val="001C2B0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C2B0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C2B09"/>
    <w:rPr>
      <w:vertAlign w:val="superscript"/>
    </w:rPr>
  </w:style>
  <w:style w:type="paragraph" w:styleId="a6">
    <w:name w:val="Normal (Web)"/>
    <w:basedOn w:val="a"/>
    <w:uiPriority w:val="99"/>
    <w:semiHidden/>
    <w:unhideWhenUsed/>
    <w:rsid w:val="00012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1222E"/>
    <w:rPr>
      <w:color w:val="0000FF"/>
      <w:u w:val="single"/>
    </w:rPr>
  </w:style>
  <w:style w:type="table" w:styleId="a8">
    <w:name w:val="Table Grid"/>
    <w:basedOn w:val="a1"/>
    <w:uiPriority w:val="59"/>
    <w:rsid w:val="00012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329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12D43"/>
  </w:style>
  <w:style w:type="paragraph" w:styleId="a3">
    <w:name w:val="footnote text"/>
    <w:basedOn w:val="a"/>
    <w:link w:val="a4"/>
    <w:uiPriority w:val="99"/>
    <w:semiHidden/>
    <w:unhideWhenUsed/>
    <w:rsid w:val="001C2B0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C2B0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C2B09"/>
    <w:rPr>
      <w:vertAlign w:val="superscript"/>
    </w:rPr>
  </w:style>
  <w:style w:type="paragraph" w:styleId="a6">
    <w:name w:val="Normal (Web)"/>
    <w:basedOn w:val="a"/>
    <w:uiPriority w:val="99"/>
    <w:semiHidden/>
    <w:unhideWhenUsed/>
    <w:rsid w:val="00012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1222E"/>
    <w:rPr>
      <w:color w:val="0000FF"/>
      <w:u w:val="single"/>
    </w:rPr>
  </w:style>
  <w:style w:type="table" w:styleId="a8">
    <w:name w:val="Table Grid"/>
    <w:basedOn w:val="a1"/>
    <w:uiPriority w:val="59"/>
    <w:rsid w:val="00012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32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67608-9D43-42A6-8D78-5FCE3DF08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2015-12-24T17:43:00Z</dcterms:created>
  <dcterms:modified xsi:type="dcterms:W3CDTF">2015-12-24T19:38:00Z</dcterms:modified>
</cp:coreProperties>
</file>