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050509"/>
          <w:sz w:val="26"/>
          <w:szCs w:val="26"/>
          <w:shd w:val="clear" w:color="auto" w:fill="ffffff"/>
          <w:rtl w:val="0"/>
          <w14:textFill>
            <w14:solidFill>
              <w14:srgbClr w14:val="06050A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050509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06050A"/>
            </w14:solidFill>
          </w14:textFill>
        </w:rPr>
        <w:t>Урок с позиций здоровьесбережения</w:t>
      </w:r>
    </w:p>
    <w:tbl>
      <w:tblPr>
        <w:tblW w:w="1457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07"/>
        <w:gridCol w:w="9665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0"/>
                <w:bCs w:val="0"/>
                <w:sz w:val="27"/>
                <w:szCs w:val="27"/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z w:val="27"/>
                <w:szCs w:val="27"/>
                <w:rtl w:val="0"/>
                <w:lang w:val="ru-RU"/>
              </w:rPr>
              <w:t>Критерии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z w:val="27"/>
                <w:szCs w:val="27"/>
                <w:rtl w:val="0"/>
                <w:lang w:val="ru-RU"/>
              </w:rPr>
              <w:t>здоровьесбережения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z w:val="27"/>
                <w:szCs w:val="27"/>
                <w:rtl w:val="0"/>
              </w:rPr>
              <w:t>На что обратить внимание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Обстановка и гигиенические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условия в классе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Температура и свежесть воздуха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рациональность освещения класса и доски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монотонные неприятные звуковые раздражители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Количество видов учебной деятельности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Норма – 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4-7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видов за урок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: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опрос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письмо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чтение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слушание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рассказ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ответы   на вопросы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рассматривание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списывание и т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д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Ориентировочная норма – 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7-10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минут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Многообразие видов и форм преподавания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Словесный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наглядный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аудиовизуальный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практическая работа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самостоятельная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индивидуальная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групповая работа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проект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Чередование видов преподавания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Не позже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чем через 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5-10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минут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Наличие и место методов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способствующих активизации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Метод свободного выбора </w:t>
            </w:r>
            <w:r>
              <w:rPr>
                <w:rFonts w:ascii="Verdana" w:hAnsi="Verdana"/>
                <w:sz w:val="27"/>
                <w:szCs w:val="27"/>
                <w:rtl w:val="0"/>
              </w:rPr>
              <w:t>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свободная беседа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выбор способа действия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свобода творчества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>).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Активные методы </w:t>
            </w:r>
            <w:r>
              <w:rPr>
                <w:rFonts w:ascii="Verdana" w:hAnsi="Verdana"/>
                <w:sz w:val="27"/>
                <w:szCs w:val="27"/>
                <w:rtl w:val="0"/>
              </w:rPr>
              <w:t>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ученик в роли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: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учителя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исследователя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деловая игра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дискуссия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>).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Методы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направленные на самопознание и развитие </w:t>
            </w:r>
            <w:r>
              <w:rPr>
                <w:rFonts w:ascii="Verdana" w:hAnsi="Verdana"/>
                <w:sz w:val="27"/>
                <w:szCs w:val="27"/>
                <w:rtl w:val="0"/>
              </w:rPr>
              <w:t>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интеллекта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эмоций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общения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самооценки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взаимооценки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Место и длительность применения ТСО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В соответствии с СанПиН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Умение учителя использовать ТСО как средство для дискуссии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беседы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обсуждения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>!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Поза учащегося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чередование позы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Чередование позы в течение урока в зависимости от видов деятельности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Реальное наблюдение за учениками групп риска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Напоминание на уроке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о ЗОТ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Наличие в содержательной части урока вопросов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связанных со здоровьем и ЗОТ</w:t>
            </w:r>
          </w:p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Наличие мотивации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на уроке деятельности учащихся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Внешняя мотивация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: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оценка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похвала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поддержка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соревновательный момент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Стимуляция внутренней мотивации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: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стремление больше узнать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радость от активности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интерес к изучаемому материалу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Психологический климат на уроке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Взаимоотношения на уроке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7"/>
                <w:szCs w:val="27"/>
                <w:rtl w:val="0"/>
              </w:rPr>
              <w:t>-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         учитель</w:t>
            </w:r>
            <w:r>
              <w:rPr>
                <w:rFonts w:ascii="Verdana" w:hAnsi="Verdana"/>
                <w:sz w:val="27"/>
                <w:szCs w:val="27"/>
                <w:rtl w:val="0"/>
              </w:rPr>
              <w:t>-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ученик </w:t>
            </w:r>
            <w:r>
              <w:rPr>
                <w:rFonts w:ascii="Verdana" w:hAnsi="Verdana"/>
                <w:sz w:val="27"/>
                <w:szCs w:val="27"/>
                <w:rtl w:val="0"/>
              </w:rPr>
              <w:t>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комфорт – напряжение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сотрудничество</w:t>
            </w:r>
            <w:r>
              <w:rPr>
                <w:rFonts w:ascii="Verdana" w:hAnsi="Verdana"/>
                <w:sz w:val="27"/>
                <w:szCs w:val="27"/>
                <w:rtl w:val="0"/>
              </w:rPr>
              <w:t>-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авторитарность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учет возрастных особенностей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>);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ученик – ученик </w:t>
            </w:r>
            <w:r>
              <w:rPr>
                <w:rFonts w:ascii="Verdana" w:hAnsi="Verdana"/>
                <w:sz w:val="27"/>
                <w:szCs w:val="27"/>
                <w:rtl w:val="0"/>
              </w:rPr>
              <w:t>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сотрудничество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-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соперничество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дружелюбие – враждебность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активность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-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пассивность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заинтересованность 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-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безразличие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Эмоциональные разрядки на уроке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Шутка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улыбка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юмористическая или поучительная картинка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поговорка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афоризм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музыкальная минутка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четверостишие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Плотность урока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Количество времени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затраченное школьником на работу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: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от </w:t>
            </w:r>
            <w:r>
              <w:rPr>
                <w:rFonts w:ascii="Verdana" w:hAnsi="Verdana"/>
                <w:sz w:val="27"/>
                <w:szCs w:val="27"/>
                <w:rtl w:val="0"/>
              </w:rPr>
              <w:t>60% 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не менее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!)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до </w:t>
            </w:r>
            <w:r>
              <w:rPr>
                <w:rFonts w:ascii="Verdana" w:hAnsi="Verdana"/>
                <w:sz w:val="27"/>
                <w:szCs w:val="27"/>
                <w:rtl w:val="0"/>
              </w:rPr>
              <w:t>75% (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не более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>!)</w:t>
            </w:r>
          </w:p>
        </w:tc>
      </w:tr>
      <w:tr>
        <w:tblPrEx>
          <w:shd w:val="clear" w:color="auto" w:fill="auto"/>
        </w:tblPrEx>
        <w:trPr>
          <w:trHeight w:val="162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Момент наступления утомления и снижения учебной активности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При правильно организованном уроке не ранее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чем</w:t>
            </w:r>
            <w:r>
              <w:rPr>
                <w:rFonts w:ascii="Verdana" w:hAnsi="Verdana"/>
                <w:sz w:val="27"/>
                <w:szCs w:val="27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начальная школа – на 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35-40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минуте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 xml:space="preserve">средняя и старшая школа –  на 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40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минуте</w:t>
            </w:r>
            <w:r>
              <w:rPr>
                <w:rFonts w:ascii="Verdana" w:hAnsi="Verdana"/>
                <w:sz w:val="27"/>
                <w:szCs w:val="27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490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Темп окончания урока</w:t>
            </w:r>
          </w:p>
        </w:tc>
        <w:tc>
          <w:tcPr>
            <w:tcW w:type="dxa" w:w="96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7"/>
                <w:szCs w:val="27"/>
                <w:rtl w:val="0"/>
              </w:rPr>
              <w:t>Спокойный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размеренный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ответы на вопросы учащихся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д</w:t>
            </w:r>
            <w:r>
              <w:rPr>
                <w:rFonts w:ascii="Verdana" w:hAnsi="Verdana"/>
                <w:sz w:val="27"/>
                <w:szCs w:val="27"/>
                <w:rtl w:val="0"/>
              </w:rPr>
              <w:t>/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з уже давно записано и прокомментировано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настрой на успех</w:t>
            </w:r>
            <w:r>
              <w:rPr>
                <w:rFonts w:ascii="Verdana" w:hAnsi="Verdana"/>
                <w:sz w:val="27"/>
                <w:szCs w:val="27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7"/>
                <w:szCs w:val="27"/>
                <w:rtl w:val="0"/>
              </w:rPr>
              <w:t>Улыбка учителя</w:t>
            </w:r>
            <w:r>
              <w:rPr>
                <w:rFonts w:ascii="Verdana" w:hAnsi="Verdana"/>
                <w:sz w:val="27"/>
                <w:szCs w:val="27"/>
                <w:rtl w:val="0"/>
              </w:rPr>
              <w:t>!</w:t>
            </w:r>
          </w:p>
        </w:tc>
      </w:tr>
    </w:tbl>
    <w:p>
      <w:pPr>
        <w:pStyle w:val="По умолчанию"/>
        <w:bidi w:val="0"/>
        <w:ind w:left="0" w:right="0" w:firstLine="0"/>
        <w:jc w:val="center"/>
        <w:rPr>
          <w:rFonts w:ascii="Verdana" w:cs="Verdana" w:hAnsi="Verdana" w:eastAsia="Verdana"/>
          <w:outline w:val="0"/>
          <w:color w:val="050509"/>
          <w:sz w:val="26"/>
          <w:szCs w:val="26"/>
          <w:shd w:val="clear" w:color="auto" w:fill="ffffff"/>
          <w:rtl w:val="0"/>
          <w14:textFill>
            <w14:solidFill>
              <w14:srgbClr w14:val="06050A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center"/>
        <w:rPr>
          <w:rtl w:val="0"/>
        </w:rPr>
      </w:pPr>
      <w:r>
        <w:rPr>
          <w:rFonts w:ascii="Verdana" w:cs="Verdana" w:hAnsi="Verdana" w:eastAsia="Verdana"/>
          <w:outline w:val="0"/>
          <w:color w:val="050509"/>
          <w:sz w:val="26"/>
          <w:szCs w:val="26"/>
          <w:shd w:val="clear" w:color="auto" w:fill="ffffff"/>
          <w:rtl w:val="0"/>
          <w14:textFill>
            <w14:solidFill>
              <w14:srgbClr w14:val="06050A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