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A7" w:rsidRPr="00D54CA7" w:rsidRDefault="00D54CA7" w:rsidP="00D54CA7">
      <w:pPr>
        <w:pStyle w:val="a3"/>
        <w:numPr>
          <w:ilvl w:val="0"/>
          <w:numId w:val="1"/>
        </w:numPr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b/>
          <w:bCs/>
          <w:color w:val="9933FF"/>
          <w:kern w:val="24"/>
          <w:sz w:val="36"/>
          <w:szCs w:val="36"/>
        </w:rPr>
        <w:t xml:space="preserve">Над какими вопросами методики, педагогики и психологии работаю: </w:t>
      </w:r>
    </w:p>
    <w:p w:rsidR="00D54CA7" w:rsidRPr="00D54CA7" w:rsidRDefault="00D54CA7" w:rsidP="00D54CA7">
      <w:pPr>
        <w:pStyle w:val="a3"/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color w:val="000000" w:themeColor="text1"/>
          <w:kern w:val="24"/>
          <w:sz w:val="36"/>
          <w:szCs w:val="36"/>
        </w:rPr>
        <w:t>использование инновационных технологий обучения, конструирование урока с использованием информационно-коммуникационных технологий, выявление ценностных ориентаций и мотивов успешной деятельности учащихся</w:t>
      </w:r>
    </w:p>
    <w:p w:rsidR="00D54CA7" w:rsidRPr="00D54CA7" w:rsidRDefault="00D54CA7" w:rsidP="00D54CA7">
      <w:pPr>
        <w:pStyle w:val="a3"/>
        <w:numPr>
          <w:ilvl w:val="0"/>
          <w:numId w:val="1"/>
        </w:numPr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b/>
          <w:bCs/>
          <w:color w:val="9933FF"/>
          <w:kern w:val="24"/>
          <w:sz w:val="36"/>
          <w:szCs w:val="36"/>
        </w:rPr>
        <w:t xml:space="preserve">Какие вопросы методики могут быть внедрены в практику работы других учителей: </w:t>
      </w:r>
    </w:p>
    <w:p w:rsidR="00D54CA7" w:rsidRPr="00D54CA7" w:rsidRDefault="00D54CA7" w:rsidP="00D54CA7">
      <w:pPr>
        <w:pStyle w:val="a3"/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color w:val="000000" w:themeColor="text1"/>
          <w:kern w:val="24"/>
          <w:sz w:val="36"/>
          <w:szCs w:val="36"/>
        </w:rPr>
        <w:t>комплексно-методическое обеспечение учебно-воспитательного процесса, учет компетентностей учащихся с учетом личностно ориентированного подхода.</w:t>
      </w:r>
    </w:p>
    <w:p w:rsidR="00D54CA7" w:rsidRPr="00D54CA7" w:rsidRDefault="00D54CA7" w:rsidP="00D54CA7">
      <w:pPr>
        <w:pStyle w:val="a3"/>
        <w:numPr>
          <w:ilvl w:val="0"/>
          <w:numId w:val="1"/>
        </w:numPr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b/>
          <w:bCs/>
          <w:color w:val="9933FF"/>
          <w:kern w:val="24"/>
          <w:sz w:val="36"/>
          <w:szCs w:val="36"/>
        </w:rPr>
        <w:t>Какие методические вопросы вызывают трудности:</w:t>
      </w:r>
      <w:r w:rsidRPr="00D54CA7">
        <w:rPr>
          <w:rFonts w:eastAsiaTheme="minorEastAsia"/>
          <w:color w:val="9933FF"/>
          <w:kern w:val="24"/>
          <w:sz w:val="36"/>
          <w:szCs w:val="36"/>
        </w:rPr>
        <w:t xml:space="preserve"> </w:t>
      </w:r>
      <w:r w:rsidRPr="00D54CA7">
        <w:rPr>
          <w:rFonts w:eastAsiaTheme="minorEastAsia"/>
          <w:color w:val="000000" w:themeColor="text1"/>
          <w:kern w:val="24"/>
          <w:sz w:val="36"/>
          <w:szCs w:val="36"/>
        </w:rPr>
        <w:t>обеспечение осознанности обучения, самостоятельности учащихся в учебном труде, сотрудничество учителя и учеников на  уроках.</w:t>
      </w:r>
    </w:p>
    <w:p w:rsidR="00D54CA7" w:rsidRPr="00D54CA7" w:rsidRDefault="00D54CA7" w:rsidP="00D54CA7">
      <w:pPr>
        <w:pStyle w:val="a3"/>
        <w:numPr>
          <w:ilvl w:val="0"/>
          <w:numId w:val="1"/>
        </w:numPr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b/>
          <w:bCs/>
          <w:color w:val="9933FF"/>
          <w:kern w:val="24"/>
          <w:sz w:val="36"/>
          <w:szCs w:val="36"/>
        </w:rPr>
        <w:t xml:space="preserve">Методическая находка: </w:t>
      </w:r>
    </w:p>
    <w:p w:rsidR="00D54CA7" w:rsidRPr="00D54CA7" w:rsidRDefault="00D54CA7" w:rsidP="00D54CA7">
      <w:pPr>
        <w:pStyle w:val="a3"/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color w:val="000000" w:themeColor="text1"/>
          <w:kern w:val="24"/>
          <w:sz w:val="36"/>
          <w:szCs w:val="36"/>
        </w:rPr>
        <w:t xml:space="preserve">развитие разноплановых способностей ученика путем решения задач и выполнения заданий без опоры на образцы. </w:t>
      </w:r>
    </w:p>
    <w:p w:rsidR="00D54CA7" w:rsidRPr="00D54CA7" w:rsidRDefault="00D54CA7" w:rsidP="00D54CA7">
      <w:pPr>
        <w:pStyle w:val="a3"/>
        <w:numPr>
          <w:ilvl w:val="0"/>
          <w:numId w:val="1"/>
        </w:numPr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b/>
          <w:bCs/>
          <w:color w:val="9933FF"/>
          <w:kern w:val="24"/>
          <w:sz w:val="36"/>
          <w:szCs w:val="36"/>
        </w:rPr>
        <w:t xml:space="preserve">Достижения в педагогической деятельности: </w:t>
      </w:r>
      <w:r w:rsidRPr="00D54CA7">
        <w:rPr>
          <w:rFonts w:eastAsiaTheme="minorEastAsia"/>
          <w:color w:val="000000" w:themeColor="text1"/>
          <w:kern w:val="24"/>
          <w:sz w:val="36"/>
          <w:szCs w:val="36"/>
        </w:rPr>
        <w:t>максимальный учет возможностей  и склонностей учащихся; согласованность и преемственность в преподавании химии; системность в планировании форм, методов и приемов работы; самооценка, самоконтроль и самоанализ, постоянное повышение профессионального уровня.</w:t>
      </w:r>
    </w:p>
    <w:p w:rsidR="00662B83" w:rsidRPr="00D54CA7" w:rsidRDefault="00D54CA7" w:rsidP="00D54CA7">
      <w:pPr>
        <w:pStyle w:val="a3"/>
        <w:numPr>
          <w:ilvl w:val="0"/>
          <w:numId w:val="1"/>
        </w:numPr>
        <w:kinsoku w:val="0"/>
        <w:overflowPunct w:val="0"/>
        <w:spacing w:line="276" w:lineRule="auto"/>
        <w:jc w:val="both"/>
        <w:textAlignment w:val="baseline"/>
        <w:rPr>
          <w:color w:val="0BD0D9"/>
          <w:sz w:val="34"/>
        </w:rPr>
      </w:pPr>
      <w:r w:rsidRPr="00D54CA7">
        <w:rPr>
          <w:rFonts w:eastAsiaTheme="minorEastAsia"/>
          <w:b/>
          <w:bCs/>
          <w:color w:val="9933FF"/>
          <w:kern w:val="24"/>
          <w:sz w:val="36"/>
          <w:szCs w:val="36"/>
        </w:rPr>
        <w:t xml:space="preserve">Недостатки педагогической деятельности: </w:t>
      </w:r>
      <w:r w:rsidRPr="00D54CA7">
        <w:rPr>
          <w:rFonts w:eastAsiaTheme="minorEastAsia"/>
          <w:color w:val="000000" w:themeColor="text1"/>
          <w:kern w:val="24"/>
          <w:sz w:val="36"/>
          <w:szCs w:val="36"/>
        </w:rPr>
        <w:t>невысокий уровень остаточных знаний у учащихся со знаниями среднего и начального уровней</w:t>
      </w:r>
      <w:bookmarkStart w:id="0" w:name="_GoBack"/>
      <w:bookmarkEnd w:id="0"/>
    </w:p>
    <w:sectPr w:rsidR="00662B83" w:rsidRPr="00D54CA7" w:rsidSect="00D54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F5C"/>
    <w:multiLevelType w:val="hybridMultilevel"/>
    <w:tmpl w:val="4C803EDC"/>
    <w:lvl w:ilvl="0" w:tplc="DDB4E9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DCE7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096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162A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865E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56E5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184B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0AB2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C67D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84"/>
    <w:rsid w:val="00503284"/>
    <w:rsid w:val="00662B83"/>
    <w:rsid w:val="00D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08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78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3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90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0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>arken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2018-07-19T07:42:00Z</dcterms:created>
  <dcterms:modified xsi:type="dcterms:W3CDTF">2018-07-19T07:46:00Z</dcterms:modified>
</cp:coreProperties>
</file>